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000000"/>
          <w:spacing w:val="0"/>
          <w:sz w:val="44"/>
          <w:szCs w:val="44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000000"/>
          <w:spacing w:val="0"/>
          <w:sz w:val="44"/>
          <w:szCs w:val="44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000000"/>
          <w:spacing w:val="0"/>
          <w:sz w:val="44"/>
          <w:szCs w:val="44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000000"/>
          <w:spacing w:val="0"/>
          <w:sz w:val="44"/>
          <w:szCs w:val="44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000000"/>
          <w:spacing w:val="0"/>
          <w:sz w:val="44"/>
          <w:szCs w:val="44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sz w:val="44"/>
          <w:szCs w:val="44"/>
          <w:lang w:eastAsia="zh-CN"/>
        </w:rPr>
        <w:t>淄博市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sz w:val="44"/>
          <w:szCs w:val="44"/>
        </w:rPr>
        <w:t>住房和城乡建设局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60" w:lineRule="exact"/>
        <w:ind w:left="0" w:right="0" w:firstLine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sz w:val="44"/>
          <w:szCs w:val="44"/>
          <w:lang w:val="en-US" w:eastAsia="zh-CN"/>
        </w:rPr>
        <w:t>20年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caps w:val="0"/>
          <w:color w:val="000000"/>
          <w:spacing w:val="0"/>
          <w:sz w:val="44"/>
          <w:szCs w:val="44"/>
        </w:rPr>
        <w:t>政府信息公开年度报告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left"/>
        <w:textAlignment w:val="auto"/>
        <w:rPr>
          <w:rFonts w:hint="eastAsia" w:ascii="微软雅黑" w:hAnsi="微软雅黑" w:eastAsia="微软雅黑" w:cs="微软雅黑"/>
          <w:i w:val="0"/>
          <w:caps w:val="0"/>
          <w:color w:val="3D3D3D"/>
          <w:spacing w:val="0"/>
          <w:sz w:val="32"/>
          <w:szCs w:val="22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</w:rPr>
        <w:t>市政府：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</w:rPr>
        <w:t>根据《中华人民共和国政府信息公开条例》《山东省政府信息公开办法》有关规定和市政府有关</w:t>
      </w:r>
      <w:r>
        <w:rPr>
          <w:rFonts w:hint="eastAsia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文件要求，</w:t>
      </w:r>
      <w:r>
        <w:rPr>
          <w:rFonts w:hint="default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</w:rPr>
        <w:t>市住房城乡建设局按照《</w:t>
      </w:r>
      <w:r>
        <w:rPr>
          <w:rFonts w:hint="eastAsia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淄博市人民政府办公室</w:t>
      </w:r>
      <w:r>
        <w:rPr>
          <w:rFonts w:hint="default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</w:rPr>
        <w:t>关于</w:t>
      </w:r>
      <w:r>
        <w:rPr>
          <w:rFonts w:hint="eastAsia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编制和公布</w:t>
      </w:r>
      <w:r>
        <w:rPr>
          <w:rFonts w:hint="eastAsia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2020年</w:t>
      </w:r>
      <w:r>
        <w:rPr>
          <w:rFonts w:hint="default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</w:rPr>
        <w:t>政府信息公开</w:t>
      </w:r>
      <w:r>
        <w:rPr>
          <w:rFonts w:hint="eastAsia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工作年度报告</w:t>
      </w:r>
      <w:r>
        <w:rPr>
          <w:rFonts w:hint="default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</w:rPr>
        <w:t>的通知》要求，</w:t>
      </w:r>
      <w:r>
        <w:rPr>
          <w:rFonts w:hint="eastAsia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安排</w:t>
      </w:r>
      <w:r>
        <w:rPr>
          <w:rFonts w:hint="default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</w:rPr>
        <w:t>专人负责，积极推进</w:t>
      </w:r>
      <w:r>
        <w:rPr>
          <w:rFonts w:hint="eastAsia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政府信息公开工作</w:t>
      </w:r>
      <w:r>
        <w:rPr>
          <w:rFonts w:hint="default" w:ascii="仿宋_GB2312" w:hAnsi="微软雅黑" w:eastAsia="仿宋_GB2312" w:cs="仿宋_GB2312"/>
          <w:b w:val="0"/>
          <w:bCs w:val="0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</w:rPr>
        <w:t>一、</w:t>
      </w:r>
      <w:r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总体</w:t>
      </w:r>
      <w:r>
        <w:rPr>
          <w:rFonts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outlineLvl w:val="9"/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</w:rPr>
        <w:t>加强组织领导和制度建设</w:t>
      </w: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"/>
          <w:b w:val="0"/>
          <w:bCs w:val="0"/>
          <w:sz w:val="32"/>
          <w:szCs w:val="32"/>
          <w:lang w:eastAsia="zh-CN"/>
        </w:rPr>
        <w:t>局属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各单位主要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负责人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负总责，认真做好政府信息公开保障工作，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对于日常文件做到能公开的及时公开，对于工作动态和相关典型注重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总结、提炼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，及时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对外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公开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发布。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印发《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lang w:val="en-US" w:eastAsia="zh-CN"/>
        </w:rPr>
        <w:t>关于进一步落实&lt;2020年淄博市政务公开工作方案&gt;加强信息公开工作的通知》,</w:t>
      </w:r>
      <w:r>
        <w:rPr>
          <w:rFonts w:hint="eastAsia" w:ascii="仿宋_GB2312" w:hAnsi="仿宋_GB2312" w:eastAsia="仿宋_GB2312" w:cs="仿宋"/>
          <w:i w:val="0"/>
          <w:caps w:val="0"/>
          <w:color w:val="000000"/>
          <w:spacing w:val="0"/>
          <w:sz w:val="32"/>
          <w:szCs w:val="32"/>
        </w:rPr>
        <w:t>整理20</w:t>
      </w:r>
      <w:r>
        <w:rPr>
          <w:rFonts w:hint="eastAsia" w:ascii="仿宋_GB2312" w:hAnsi="仿宋_GB2312" w:eastAsia="仿宋_GB2312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"/>
          <w:i w:val="0"/>
          <w:caps w:val="0"/>
          <w:color w:val="000000"/>
          <w:spacing w:val="0"/>
          <w:sz w:val="32"/>
          <w:szCs w:val="32"/>
        </w:rPr>
        <w:t>年信息公开主要工作任务分工</w:t>
      </w:r>
      <w:r>
        <w:rPr>
          <w:rFonts w:hint="eastAsia" w:ascii="仿宋_GB2312" w:hAnsi="仿宋_GB2312" w:eastAsia="仿宋_GB2312" w:cs="仿宋"/>
          <w:i w:val="0"/>
          <w:caps w:val="0"/>
          <w:color w:val="000000"/>
          <w:spacing w:val="0"/>
          <w:sz w:val="32"/>
          <w:szCs w:val="32"/>
          <w:lang w:val="en-US"/>
        </w:rPr>
        <w:t>,</w:t>
      </w:r>
      <w:r>
        <w:rPr>
          <w:rFonts w:hint="eastAsia" w:ascii="仿宋_GB2312" w:hAnsi="仿宋_GB2312" w:eastAsia="仿宋_GB2312" w:cs="仿宋"/>
          <w:i w:val="0"/>
          <w:caps w:val="0"/>
          <w:color w:val="000000"/>
          <w:spacing w:val="0"/>
          <w:sz w:val="32"/>
          <w:szCs w:val="32"/>
          <w:lang w:val="en-US" w:eastAsia="zh-CN"/>
        </w:rPr>
        <w:t>并明确了具体的责任科室和单位</w:t>
      </w:r>
      <w:r>
        <w:rPr>
          <w:rFonts w:hint="eastAsia" w:ascii="仿宋_GB2312" w:hAnsi="仿宋_GB2312" w:eastAsia="仿宋_GB2312" w:cs="仿宋"/>
          <w:i w:val="0"/>
          <w:caps w:val="0"/>
          <w:color w:val="000000"/>
          <w:spacing w:val="0"/>
          <w:sz w:val="32"/>
          <w:szCs w:val="32"/>
        </w:rPr>
        <w:t>。聚焦“三改三建”、绿色建筑发展、物业管理等民生热点，加大相关政策措施、工作成效、工程进展等信息公开力度。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643" w:firstLineChars="200"/>
        <w:textAlignment w:val="auto"/>
        <w:outlineLvl w:val="9"/>
        <w:rPr>
          <w:rFonts w:hint="eastAsia" w:ascii="仿宋_GB2312" w:hAnsi="仿宋_GB2312" w:eastAsia="仿宋_GB2312"/>
          <w:b w:val="0"/>
          <w:bCs w:val="0"/>
          <w:color w:val="000000"/>
          <w:sz w:val="32"/>
          <w:lang w:eastAsia="zh-CN"/>
        </w:rPr>
      </w:pP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</w:rPr>
        <w:t>发布解读、回应社会关切情况</w:t>
      </w: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围绕20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年全市重点工作任务，全面公开、精准解读相关政策措施，确保政策内涵透明、信号清晰。按照“谁起草谁解读”原则，切实做到政策性文件与解读方案、解读材料同步组织、同步审签、同步部署。重要的政策要通过新闻发布会进行解读，对人民群众和媒体关注度高的内容要跟进解读，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2020年共解读政策19条，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年内召开了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次新闻发布会，及时回应社会关切。</w:t>
      </w:r>
      <w:r>
        <w:rPr>
          <w:rFonts w:hint="eastAsia" w:ascii="仿宋_GB2312" w:hAnsi="仿宋_GB2312" w:eastAsia="仿宋_GB2312" w:cs="楷体"/>
          <w:b w:val="0"/>
          <w:bCs w:val="0"/>
          <w:snapToGrid/>
          <w:color w:val="000000"/>
          <w:sz w:val="32"/>
          <w:lang w:val="en-US" w:eastAsia="zh-CN"/>
        </w:rPr>
        <w:t>加强宣传平台建设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2020年网站总访问量1544712次，信息发布1840条，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eastAsia="zh-CN"/>
        </w:rPr>
        <w:t>淄博建设微博信息发布332条，粉丝量77561人，淄博住建微信公众号发稿375条，订阅数2269人。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420" w:firstLineChars="200"/>
        <w:textAlignment w:val="auto"/>
        <w:outlineLvl w:val="9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196215</wp:posOffset>
            </wp:positionV>
            <wp:extent cx="2299335" cy="3369945"/>
            <wp:effectExtent l="0" t="0" r="1905" b="13335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l="53502" t="13175" r="19776" b="17244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184785</wp:posOffset>
            </wp:positionV>
            <wp:extent cx="3023870" cy="3376295"/>
            <wp:effectExtent l="0" t="0" r="8890" b="6985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（三）</w:t>
      </w: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</w:rPr>
        <w:t>重点领域政府信息公开情况</w:t>
      </w: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结合融公开工作台，系统整合重点领域政府信息公开条目，全面推进重点领域政务公开工作。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>推进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</w:rPr>
        <w:t>行政审批双公示信息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，完善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“双公示”专栏，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将行政审批和行政许可事项实现了实时公开查询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；建立财政预决算专栏，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对财政预算决算进行了公开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；持续更新“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三改三建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专栏，对保障性住房、棚户区改造和农村危房改造情况进行了公开公示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；加强管理规范性文件和政策解读专栏，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对规范性文件进行了公开，实现政策解读全覆盖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；不断维护安全生产专栏，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对安全生产信息进行了及时公开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420" w:firstLineChars="200"/>
        <w:textAlignment w:val="auto"/>
        <w:outlineLvl w:val="9"/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23495</wp:posOffset>
            </wp:positionV>
            <wp:extent cx="5609590" cy="1378585"/>
            <wp:effectExtent l="0" t="0" r="13970" b="825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</w:rPr>
        <w:t>加强行业管理平台建设</w:t>
      </w:r>
      <w:r>
        <w:rPr>
          <w:rFonts w:hint="eastAsia" w:ascii="仿宋_GB2312" w:hAnsi="仿宋_GB2312" w:eastAsia="仿宋_GB2312" w:cs="楷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网站对相关企业和人员的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诚信信息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进行实时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公开，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建立“诚信信息公示”系统，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针对开发企业、建筑企业诚信行为进行实时公开，对建筑企业诚信情况实现日排名。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网站建立“房地产预售楼盘查询”系统，对房屋预售楼盘情况进行实时公开</w:t>
      </w:r>
      <w:r>
        <w:rPr>
          <w:rFonts w:hint="eastAsia" w:ascii="仿宋_GB2312" w:hAnsi="仿宋_GB2312" w:eastAsia="仿宋_GB2312" w:cs="仿宋"/>
          <w:b w:val="0"/>
          <w:bCs w:val="0"/>
          <w:i w:val="0"/>
          <w:caps w:val="0"/>
          <w:color w:val="000000"/>
          <w:spacing w:val="0"/>
          <w:sz w:val="32"/>
          <w:szCs w:val="32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仿宋_GB2312" w:hAnsi="仿宋_GB2312" w:eastAsia="仿宋_GB2312"/>
          <w:b w:val="0"/>
          <w:bCs w:val="0"/>
          <w:color w:val="000000"/>
          <w:sz w:val="32"/>
        </w:rPr>
      </w:pP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（四）</w:t>
      </w: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</w:rPr>
        <w:t>人大代表建议政协委员提案办理工作情况</w:t>
      </w:r>
      <w:r>
        <w:rPr>
          <w:rFonts w:hint="eastAsia" w:ascii="楷体_GB2312" w:hAnsi="楷体_GB2312" w:eastAsia="楷体_GB2312" w:cs="黑体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由我局承办的人大代表建议、政协委员提案共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82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件，比去年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58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件增长了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41.4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%，其中：人大代表建议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20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件，比去年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eastAsia="zh-CN"/>
        </w:rPr>
        <w:t>增加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了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17.6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%，政协委员提案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62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件，比去年增加了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51.2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%。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仿宋_GB2312" w:hAnsi="仿宋_GB2312" w:eastAsia="仿宋_GB2312" w:cs="仿宋"/>
          <w:color w:val="000000"/>
          <w:spacing w:val="0"/>
          <w:sz w:val="32"/>
        </w:rPr>
      </w:pP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从建议、提案反映的问题看，主要涉及五个方面：一是关于加强城乡基础设施建设、破解停车难提升城市功能等建议提案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25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件。二是关于物业管理、人居方面的建议提案有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23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件。三是关于促进建筑业房地产业改革发展、建筑节能等建议提案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11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件。四是关于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eastAsia="zh-CN"/>
        </w:rPr>
        <w:t>老旧小区改造、农村旱厕改造、古村落保护、人才公寓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等建议提案有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12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件。五是关于公用事业方面的建议提案有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  <w:lang w:val="en-US" w:eastAsia="zh-CN"/>
        </w:rPr>
        <w:t>11</w:t>
      </w:r>
      <w:r>
        <w:rPr>
          <w:rFonts w:hint="eastAsia" w:ascii="仿宋_GB2312" w:hAnsi="仿宋_GB2312" w:eastAsia="仿宋_GB2312"/>
          <w:b w:val="0"/>
          <w:bCs w:val="0"/>
          <w:color w:val="000000"/>
          <w:sz w:val="32"/>
        </w:rPr>
        <w:t>件。这些建议、提案充分反映了人大代表、政协委员、各级领导和社会各界对住房城乡建设事业的关心和支持。我们将“行文规范严谨，措施有效落实，答复认真及时，代表委员满意”作为办理工作目标，严格按办理工作要求和程序，突出重点、讲究实效，实现了办复率100%。</w:t>
      </w:r>
      <w:r>
        <w:rPr>
          <w:rFonts w:hint="eastAsia" w:ascii="仿宋_GB2312" w:hAnsi="仿宋_GB2312" w:eastAsia="仿宋_GB2312" w:cs="仿宋"/>
          <w:color w:val="000000"/>
          <w:spacing w:val="0"/>
          <w:sz w:val="32"/>
          <w:lang w:val="en-US" w:eastAsia="zh-CN"/>
        </w:rPr>
        <w:t>9月25日上午，我局召开了面复会，邀请了人大、政协的相关领导，以及部分代表和委员进行了进一步的沟通和答复，</w:t>
      </w:r>
      <w:r>
        <w:rPr>
          <w:rFonts w:hint="eastAsia" w:ascii="仿宋_GB2312" w:hAnsi="仿宋_GB2312" w:eastAsia="仿宋_GB2312" w:cs="仿宋"/>
          <w:color w:val="000000"/>
          <w:spacing w:val="0"/>
          <w:sz w:val="32"/>
        </w:rPr>
        <w:t>及时改正工作存在的问题和不足，</w:t>
      </w:r>
      <w:r>
        <w:rPr>
          <w:rFonts w:hint="eastAsia" w:ascii="仿宋_GB2312" w:hAnsi="仿宋_GB2312" w:eastAsia="仿宋_GB2312" w:cs="仿宋"/>
          <w:color w:val="000000"/>
          <w:spacing w:val="0"/>
          <w:sz w:val="32"/>
          <w:lang w:eastAsia="zh-CN"/>
        </w:rPr>
        <w:t>推动</w:t>
      </w:r>
      <w:r>
        <w:rPr>
          <w:rFonts w:hint="eastAsia" w:ascii="仿宋_GB2312" w:hAnsi="仿宋_GB2312" w:eastAsia="仿宋_GB2312" w:cs="仿宋"/>
          <w:color w:val="000000"/>
          <w:spacing w:val="0"/>
          <w:sz w:val="32"/>
        </w:rPr>
        <w:t>全市住房城乡建设</w:t>
      </w:r>
      <w:r>
        <w:rPr>
          <w:rFonts w:hint="eastAsia" w:ascii="仿宋_GB2312" w:hAnsi="仿宋_GB2312" w:eastAsia="仿宋_GB2312" w:cs="仿宋"/>
          <w:color w:val="000000"/>
          <w:spacing w:val="0"/>
          <w:sz w:val="32"/>
          <w:lang w:eastAsia="zh-CN"/>
        </w:rPr>
        <w:t>工作实现</w:t>
      </w:r>
      <w:r>
        <w:rPr>
          <w:rFonts w:hint="eastAsia" w:ascii="仿宋_GB2312" w:hAnsi="仿宋_GB2312" w:eastAsia="仿宋_GB2312" w:cs="仿宋"/>
          <w:color w:val="000000"/>
          <w:spacing w:val="0"/>
          <w:sz w:val="32"/>
        </w:rPr>
        <w:t>了新的发展。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15875</wp:posOffset>
            </wp:positionV>
            <wp:extent cx="4371975" cy="3009900"/>
            <wp:effectExtent l="0" t="0" r="0" b="0"/>
            <wp:wrapTopAndBottom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</w:rPr>
        <w:t>二、</w:t>
      </w:r>
      <w:r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主动公开政府信息情况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5"/>
        <w:gridCol w:w="2265"/>
        <w:gridCol w:w="2265"/>
        <w:gridCol w:w="22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061" w:type="dxa"/>
            <w:gridSpan w:val="4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信息内容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本年新制作数量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本年新公开数量</w:t>
            </w:r>
          </w:p>
        </w:tc>
        <w:tc>
          <w:tcPr>
            <w:tcW w:w="226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对外公开数量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规章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226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规范性文件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13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13</w:t>
            </w:r>
          </w:p>
        </w:tc>
        <w:tc>
          <w:tcPr>
            <w:tcW w:w="226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061" w:type="dxa"/>
            <w:gridSpan w:val="4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第二十条第（</w:t>
            </w: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五</w:t>
            </w: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信息内容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上一年项目数量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本年增减</w:t>
            </w:r>
          </w:p>
        </w:tc>
        <w:tc>
          <w:tcPr>
            <w:tcW w:w="226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行政许可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18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+11</w:t>
            </w:r>
          </w:p>
        </w:tc>
        <w:tc>
          <w:tcPr>
            <w:tcW w:w="226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2985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其他对外管理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服务事项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65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226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061" w:type="dxa"/>
            <w:gridSpan w:val="4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第二十条第（</w:t>
            </w: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六</w:t>
            </w: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信息内容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上一年项目数量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本年增减</w:t>
            </w:r>
          </w:p>
        </w:tc>
        <w:tc>
          <w:tcPr>
            <w:tcW w:w="226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行政处罚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394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+3</w:t>
            </w:r>
          </w:p>
        </w:tc>
        <w:tc>
          <w:tcPr>
            <w:tcW w:w="226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行政强制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1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226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061" w:type="dxa"/>
            <w:gridSpan w:val="4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第二十条第（</w:t>
            </w: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八</w:t>
            </w: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信息内容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上一年项目数量</w:t>
            </w:r>
          </w:p>
        </w:tc>
        <w:tc>
          <w:tcPr>
            <w:tcW w:w="4531" w:type="dxa"/>
            <w:gridSpan w:val="2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本年增减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行政事业性收费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4531" w:type="dxa"/>
            <w:gridSpan w:val="2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9061" w:type="dxa"/>
            <w:gridSpan w:val="4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第二十条第（</w:t>
            </w: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九</w:t>
            </w: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信息内容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采购项目数量</w:t>
            </w:r>
          </w:p>
        </w:tc>
        <w:tc>
          <w:tcPr>
            <w:tcW w:w="4531" w:type="dxa"/>
            <w:gridSpan w:val="2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采购总金额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eastAsia="zh-CN"/>
              </w:rPr>
              <w:t>政府集中采购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15</w:t>
            </w:r>
          </w:p>
        </w:tc>
        <w:tc>
          <w:tcPr>
            <w:tcW w:w="4531" w:type="dxa"/>
            <w:gridSpan w:val="2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right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28"/>
                <w:vertAlign w:val="baseline"/>
                <w:lang w:val="en-US" w:eastAsia="zh-CN"/>
              </w:rPr>
              <w:t>842.62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right="0" w:firstLine="640" w:firstLineChars="200"/>
        <w:jc w:val="both"/>
        <w:textAlignment w:val="auto"/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三、收到和处理政府信息公开申请情况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"/>
        <w:gridCol w:w="1097"/>
        <w:gridCol w:w="2726"/>
        <w:gridCol w:w="951"/>
        <w:gridCol w:w="726"/>
        <w:gridCol w:w="742"/>
        <w:gridCol w:w="822"/>
        <w:gridCol w:w="836"/>
        <w:gridCol w:w="629"/>
        <w:gridCol w:w="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4" w:type="dxa"/>
            <w:gridSpan w:val="3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（本列数据的勾稽关系为：第一项加第二项之和，等于第三项加第四项之和）</w:t>
            </w:r>
          </w:p>
        </w:tc>
        <w:tc>
          <w:tcPr>
            <w:tcW w:w="5373" w:type="dxa"/>
            <w:gridSpan w:val="7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4" w:type="dxa"/>
            <w:gridSpan w:val="3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951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自然人</w:t>
            </w:r>
          </w:p>
        </w:tc>
        <w:tc>
          <w:tcPr>
            <w:tcW w:w="3755" w:type="dxa"/>
            <w:gridSpan w:val="5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法人或其他组织</w:t>
            </w:r>
          </w:p>
        </w:tc>
        <w:tc>
          <w:tcPr>
            <w:tcW w:w="667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4" w:type="dxa"/>
            <w:gridSpan w:val="3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95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商业机构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科研机构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社会公益机构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法律服务机构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其他</w:t>
            </w:r>
          </w:p>
        </w:tc>
        <w:tc>
          <w:tcPr>
            <w:tcW w:w="66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4" w:type="dxa"/>
            <w:gridSpan w:val="3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一、本年新收政府信息公开申请数量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63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4" w:type="dxa"/>
            <w:gridSpan w:val="3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二、上年结转政府信息公开申请数量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三、本年度办理结果</w:t>
            </w:r>
          </w:p>
        </w:tc>
        <w:tc>
          <w:tcPr>
            <w:tcW w:w="3823" w:type="dxa"/>
            <w:gridSpan w:val="2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（一）予以公开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3823" w:type="dxa"/>
            <w:gridSpan w:val="2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（二）部分公开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15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（三）不予公开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1.</w:t>
            </w: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属于国家秘密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2.其他法律行政法规禁止公开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3.危及“三安全一稳定”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4.保护第三方合法权益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5.属于第三类内部事务信息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6.属于四类过程性信息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7.属于行政执法案卷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8.属于行政查询事项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（四）无法提供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1.本机关不掌握相关政府信息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23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2.没有现成信息需要另行制作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3.补正后申请内容仍不明确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（五）不予处理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1.信访举报投诉类申请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2.重复申请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3.要求提供公开出版物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4.无正当理由大量反复申请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1097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2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5.要求行政机关确认或重新出具以获取信息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3823" w:type="dxa"/>
            <w:gridSpan w:val="2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（六）其他处理（不属于政府信息）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71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3823" w:type="dxa"/>
            <w:gridSpan w:val="2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（七）总计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56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4294" w:type="dxa"/>
            <w:gridSpan w:val="3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四、结转下年度继续办理</w:t>
            </w:r>
          </w:p>
        </w:tc>
        <w:tc>
          <w:tcPr>
            <w:tcW w:w="951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72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74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22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836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29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67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7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right="0"/>
        <w:jc w:val="both"/>
        <w:textAlignment w:val="auto"/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四、政府信息公开复议诉讼情况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4"/>
        <w:gridCol w:w="6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20" w:type="dxa"/>
            <w:gridSpan w:val="5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行政复议</w:t>
            </w:r>
          </w:p>
        </w:tc>
        <w:tc>
          <w:tcPr>
            <w:tcW w:w="6041" w:type="dxa"/>
            <w:gridSpan w:val="10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4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结果维持</w:t>
            </w:r>
          </w:p>
        </w:tc>
        <w:tc>
          <w:tcPr>
            <w:tcW w:w="604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结果纠正</w:t>
            </w:r>
          </w:p>
        </w:tc>
        <w:tc>
          <w:tcPr>
            <w:tcW w:w="604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其他结果</w:t>
            </w:r>
          </w:p>
        </w:tc>
        <w:tc>
          <w:tcPr>
            <w:tcW w:w="604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尚未审结</w:t>
            </w:r>
          </w:p>
        </w:tc>
        <w:tc>
          <w:tcPr>
            <w:tcW w:w="604" w:type="dxa"/>
            <w:vMerge w:val="restart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总计</w:t>
            </w:r>
          </w:p>
        </w:tc>
        <w:tc>
          <w:tcPr>
            <w:tcW w:w="3020" w:type="dxa"/>
            <w:gridSpan w:val="5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未经复议直接起诉</w:t>
            </w:r>
          </w:p>
        </w:tc>
        <w:tc>
          <w:tcPr>
            <w:tcW w:w="3021" w:type="dxa"/>
            <w:gridSpan w:val="5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4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604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604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604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604" w:type="dxa"/>
            <w:vMerge w:val="continue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结果维持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结果纠正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其他结果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尚未审结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总计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结果维持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结果纠正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其他结果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尚未审结</w:t>
            </w:r>
          </w:p>
        </w:tc>
        <w:tc>
          <w:tcPr>
            <w:tcW w:w="60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eastAsia="zh-C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16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30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47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0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605" w:type="dxa"/>
            <w:noWrap w:val="0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0" w:beforeLines="0" w:beforeAutospacing="0" w:after="0" w:afterLines="0" w:afterAutospacing="0" w:line="5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黑体"/>
                <w:b w:val="0"/>
                <w:bCs w:val="0"/>
                <w:i w:val="0"/>
                <w:caps w:val="0"/>
                <w:color w:val="000000"/>
                <w:spacing w:val="0"/>
                <w:sz w:val="24"/>
                <w:szCs w:val="32"/>
                <w:vertAlign w:val="baseline"/>
                <w:lang w:val="en-US" w:eastAsia="zh-CN"/>
              </w:rPr>
              <w:t>13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五、存在的主要问题及整改情况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"/>
          <w:b w:val="0"/>
          <w:bCs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从主动公开情况来看，存在部门文件与部门会议公开不及时，规范性文件以外文件缺少解读的问题。下一步将严格规范要求，及时公开部门文件与部门会议，积极推进政策解读工作，同时丰富解读形式，增强文件内容公开的效果。从依申请公开和复议情况来看，存在部分针对非政府信息或非本部门政府信息的申请，同时仍存在答复情况适用法律不正确、答复时间超出法定期限的问题。下一步将增强政务公开知识普及，同时继续规范依申请公开答复格式，严格按照法定时限进行答复</w:t>
      </w:r>
      <w:r>
        <w:rPr>
          <w:rFonts w:hint="eastAsia" w:ascii="仿宋_GB2312" w:hAnsi="仿宋_GB2312" w:eastAsia="仿宋_GB2312" w:cs="仿宋"/>
          <w:b w:val="0"/>
          <w:bCs w:val="0"/>
          <w:color w:val="000000"/>
          <w:sz w:val="32"/>
          <w:szCs w:val="32"/>
        </w:rPr>
        <w:t>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黑体" w:hAnsi="宋体" w:eastAsia="黑体" w:cs="黑体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六、其他情况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无。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  <w:t>特此报告。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645"/>
        <w:jc w:val="both"/>
        <w:textAlignment w:val="auto"/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sz w:val="32"/>
          <w:szCs w:val="32"/>
          <w:lang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645" w:firstLine="3840" w:firstLineChars="12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32"/>
          <w:szCs w:val="32"/>
        </w:rPr>
      </w:pP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</w:rPr>
        <w:t>淄博市住房和城乡建设局     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="0" w:beforeLines="0" w:beforeAutospacing="0" w:after="0" w:afterLines="0" w:afterAutospacing="0" w:line="560" w:lineRule="exact"/>
        <w:ind w:left="0" w:right="0" w:firstLine="4480" w:firstLineChars="1400"/>
        <w:jc w:val="both"/>
        <w:textAlignment w:val="auto"/>
      </w:pP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</w:rPr>
        <w:t>20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21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</w:rPr>
        <w:t>年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</w:rPr>
        <w:t>月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28</w:t>
      </w:r>
      <w:r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</w:rPr>
        <w:t>日      </w:t>
      </w:r>
    </w:p>
    <w:sectPr>
      <w:footerReference r:id="rId3" w:type="default"/>
      <w:pgSz w:w="11906" w:h="16838"/>
      <w:pgMar w:top="1463" w:right="1474" w:bottom="1463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/>
                              <w:sz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l1uVLQAAAABQEAAA8AAAAAAAAAAQAgAAAAIgAAAGRycy9kb3ducmV2LnhtbFBLAQIUABQA&#10;AAAIAIdO4kC4cAW9vwEAAIwDAAAOAAAAAAAAAAEAIAAAAB8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/>
                        <w:sz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B936D7"/>
    <w:rsid w:val="088D0032"/>
    <w:rsid w:val="14FC75F5"/>
    <w:rsid w:val="1E1330E6"/>
    <w:rsid w:val="24323C40"/>
    <w:rsid w:val="260A0FD7"/>
    <w:rsid w:val="2C964162"/>
    <w:rsid w:val="398A6047"/>
    <w:rsid w:val="3DAC77A6"/>
    <w:rsid w:val="42B75986"/>
    <w:rsid w:val="449F2A5A"/>
    <w:rsid w:val="44B936D7"/>
    <w:rsid w:val="44F7274B"/>
    <w:rsid w:val="48C5151D"/>
    <w:rsid w:val="53E51C77"/>
    <w:rsid w:val="584B7746"/>
    <w:rsid w:val="5DE70AB2"/>
    <w:rsid w:val="6F9649FB"/>
    <w:rsid w:val="7300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Normal (Web)"/>
    <w:basedOn w:val="1"/>
    <w:qFormat/>
    <w:uiPriority w:val="0"/>
    <w:pPr>
      <w:spacing w:before="0" w:beforeLines="0" w:beforeAutospacing="0" w:after="0" w:afterLines="0" w:afterAutospacing="0"/>
      <w:ind w:left="0" w:right="0"/>
      <w:jc w:val="left"/>
    </w:pPr>
    <w:rPr>
      <w:kern w:val="0"/>
      <w:sz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chart" Target="charts/chart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680">
                <a:latin typeface="黑体" panose="02010600030101010101" charset="-122"/>
                <a:ea typeface="黑体" panose="02010600030101010101" charset="-122"/>
              </a:rPr>
              <a:t>承办提案情况</a:t>
            </a:r>
            <a:endParaRPr sz="1680">
              <a:latin typeface="黑体" panose="02010600030101010101" charset="-122"/>
              <a:ea typeface="黑体" panose="02010600030101010101" charset="-122"/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spPr/>
          <c:explosion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elete val="1"/>
          </c:dLbls>
          <c:cat>
            <c:strRef>
              <c:f>[Book1]Sheet1!$A$1:$E$1</c:f>
              <c:strCache>
                <c:ptCount val="5"/>
                <c:pt idx="0">
                  <c:v>基础建设</c:v>
                </c:pt>
                <c:pt idx="1">
                  <c:v>物业管理</c:v>
                </c:pt>
                <c:pt idx="2">
                  <c:v>行业发展</c:v>
                </c:pt>
                <c:pt idx="3">
                  <c:v>三改三建</c:v>
                </c:pt>
                <c:pt idx="4">
                  <c:v>公用事业</c:v>
                </c:pt>
              </c:strCache>
            </c:strRef>
          </c:cat>
          <c:val>
            <c:numRef>
              <c:f>[Book1]Sheet1!$A$2:$E$2</c:f>
              <c:numCache>
                <c:formatCode>General</c:formatCode>
                <c:ptCount val="5"/>
                <c:pt idx="0">
                  <c:v>25</c:v>
                </c:pt>
                <c:pt idx="1">
                  <c:v>23</c:v>
                </c:pt>
                <c:pt idx="2">
                  <c:v>11</c:v>
                </c:pt>
                <c:pt idx="3">
                  <c:v>12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0" vertOverflow="ellipsis" vert="horz" wrap="square" anchor="ctr" anchorCtr="1"/>
          <a:lstStyle/>
          <a:p>
            <a:pPr>
              <a:defRPr lang="zh-CN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1"/>
        <c:txPr>
          <a:bodyPr rot="0" spcFirstLastPara="0" vertOverflow="ellipsis" vert="horz" wrap="square" anchor="ctr" anchorCtr="1"/>
          <a:lstStyle/>
          <a:p>
            <a:pPr>
              <a:defRPr lang="zh-CN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2"/>
        <c:txPr>
          <a:bodyPr rot="0" spcFirstLastPara="0" vertOverflow="ellipsis" vert="horz" wrap="square" anchor="ctr" anchorCtr="1"/>
          <a:lstStyle/>
          <a:p>
            <a:pPr>
              <a:defRPr lang="zh-CN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3"/>
        <c:txPr>
          <a:bodyPr rot="0" spcFirstLastPara="0" vertOverflow="ellipsis" vert="horz" wrap="square" anchor="ctr" anchorCtr="1"/>
          <a:lstStyle/>
          <a:p>
            <a:pPr>
              <a:defRPr lang="zh-CN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egendEntry>
        <c:idx val="4"/>
        <c:txPr>
          <a:bodyPr rot="0" spcFirstLastPara="0" vertOverflow="ellipsis" vert="horz" wrap="square" anchor="ctr" anchorCtr="1"/>
          <a:lstStyle/>
          <a:p>
            <a:pPr>
              <a:defRPr lang="zh-CN"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lang="zh-CN" sz="1400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2021-01-25T05:53:00Z</dcterms:created>
  <dc:creator>夏俊强</dc:creator>
  <cp:lastModifiedBy>边玉麒</cp:lastModifiedBy>
  <cp:lastPrinted>2021-01-28T06:12:00Z</cp:lastPrinted>
  <dcterms:modified xsi:type="dcterms:W3CDTF">2021-03-03T05:44:04Z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